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6E7" w:rsidRPr="005673AB" w:rsidRDefault="002016E7" w:rsidP="002016E7">
      <w:pPr>
        <w:ind w:firstLineChars="1002" w:firstLine="2386"/>
        <w:rPr>
          <w:rFonts w:ascii="ＭＳ ゴシック" w:eastAsia="ＭＳ ゴシック" w:hAnsi="ＭＳ ゴシック"/>
          <w:b/>
          <w:sz w:val="24"/>
          <w:szCs w:val="24"/>
          <w:bdr w:val="single" w:sz="4" w:space="0" w:color="auto"/>
        </w:rPr>
      </w:pPr>
      <w:r w:rsidRPr="005673AB">
        <w:rPr>
          <w:rFonts w:ascii="ＭＳ ゴシック" w:eastAsia="ＭＳ ゴシック" w:hAnsi="ＭＳ ゴシック" w:hint="eastAsia"/>
          <w:b/>
          <w:sz w:val="24"/>
          <w:szCs w:val="24"/>
          <w:bdr w:val="single" w:sz="4" w:space="0" w:color="auto"/>
        </w:rPr>
        <w:t>論文作成の手引き　－注のつけ方－</w:t>
      </w:r>
    </w:p>
    <w:p w:rsidR="002016E7" w:rsidRPr="008A1DC3" w:rsidRDefault="002016E7" w:rsidP="002016E7">
      <w:pPr>
        <w:rPr>
          <w:rFonts w:ascii="ＭＳ 明朝" w:hAnsi="ＭＳ 明朝"/>
          <w:szCs w:val="18"/>
        </w:rPr>
      </w:pPr>
    </w:p>
    <w:p w:rsidR="002016E7" w:rsidRPr="00232381" w:rsidRDefault="002016E7" w:rsidP="002016E7">
      <w:pPr>
        <w:rPr>
          <w:rFonts w:ascii="ＭＳ 明朝" w:hAnsi="ＭＳ 明朝"/>
          <w:color w:val="000000"/>
          <w:sz w:val="22"/>
          <w:szCs w:val="22"/>
        </w:rPr>
      </w:pPr>
      <w:r w:rsidRPr="00232381">
        <w:rPr>
          <w:rFonts w:ascii="ＭＳ 明朝" w:hAnsi="ＭＳ 明朝" w:hint="eastAsia"/>
          <w:color w:val="000000"/>
          <w:sz w:val="22"/>
          <w:szCs w:val="22"/>
        </w:rPr>
        <w:t xml:space="preserve">　研究論文は、言いたいことを「好き勝手に」書けばよいというものではありません。自分の選んだテーマにそくして、資料や文献を読み、それらに依拠しながら議論を展開するものです。したがって研究論文では、依拠した資料等の出典をしめす注が不可欠なものとなります。論文の最後に参考とした資料・文献を列挙する（これも必要ですが）だけでは不十分です。</w:t>
      </w:r>
    </w:p>
    <w:p w:rsidR="00E011BE" w:rsidRDefault="002016E7" w:rsidP="002016E7">
      <w:pPr>
        <w:ind w:firstLineChars="100" w:firstLine="217"/>
        <w:rPr>
          <w:rFonts w:ascii="ＭＳ 明朝" w:hAnsi="ＭＳ 明朝"/>
          <w:color w:val="000000"/>
          <w:sz w:val="22"/>
          <w:szCs w:val="22"/>
        </w:rPr>
      </w:pPr>
      <w:r w:rsidRPr="00232381">
        <w:rPr>
          <w:rFonts w:ascii="ＭＳ 明朝" w:hAnsi="ＭＳ 明朝" w:hint="eastAsia"/>
          <w:color w:val="000000"/>
          <w:sz w:val="22"/>
          <w:szCs w:val="22"/>
        </w:rPr>
        <w:t>注にはいくつかの種類がありますが、ここではもっとも基本的な「引用注」のつけ方について説明します。引用注とは、論文中に引用した資料あるいは文章の出典を示す注です。参考文献中の文章をそのまま引用せず、要約して論文に利用した場合にも、出典を示す注が必要です。このような注を付けないまま、参考文献中の文章を利用した場合には、</w:t>
      </w:r>
      <w:r w:rsidRPr="00F97E09">
        <w:rPr>
          <w:rFonts w:ascii="ＭＳ 明朝" w:hAnsi="ＭＳ 明朝" w:hint="eastAsia"/>
          <w:b/>
          <w:color w:val="000000"/>
          <w:sz w:val="22"/>
          <w:szCs w:val="22"/>
        </w:rPr>
        <w:t>「剽窃」</w:t>
      </w:r>
      <w:r w:rsidRPr="00232381">
        <w:rPr>
          <w:rFonts w:ascii="ＭＳ 明朝" w:hAnsi="ＭＳ 明朝" w:hint="eastAsia"/>
          <w:color w:val="000000"/>
          <w:sz w:val="22"/>
          <w:szCs w:val="22"/>
        </w:rPr>
        <w:t>あるいは</w:t>
      </w:r>
      <w:r w:rsidRPr="00F97E09">
        <w:rPr>
          <w:rFonts w:ascii="ＭＳ 明朝" w:hAnsi="ＭＳ 明朝" w:hint="eastAsia"/>
          <w:b/>
          <w:color w:val="000000"/>
          <w:sz w:val="22"/>
          <w:szCs w:val="22"/>
        </w:rPr>
        <w:t>「盗作」</w:t>
      </w:r>
      <w:r w:rsidRPr="00232381">
        <w:rPr>
          <w:rFonts w:ascii="ＭＳ 明朝" w:hAnsi="ＭＳ 明朝" w:hint="eastAsia"/>
          <w:color w:val="000000"/>
          <w:sz w:val="22"/>
          <w:szCs w:val="22"/>
        </w:rPr>
        <w:t>の批判をまぬがれませんので、注意してください。</w:t>
      </w:r>
    </w:p>
    <w:p w:rsidR="002016E7" w:rsidRPr="008C1667" w:rsidRDefault="002016E7" w:rsidP="002016E7">
      <w:pPr>
        <w:ind w:firstLineChars="100" w:firstLine="217"/>
        <w:rPr>
          <w:rFonts w:ascii="ＭＳ 明朝" w:hAnsi="ＭＳ 明朝"/>
          <w:sz w:val="22"/>
          <w:szCs w:val="22"/>
        </w:rPr>
      </w:pPr>
      <w:r w:rsidRPr="00232381">
        <w:rPr>
          <w:rFonts w:ascii="ＭＳ 明朝" w:hAnsi="ＭＳ 明朝" w:hint="eastAsia"/>
          <w:color w:val="000000"/>
          <w:sz w:val="22"/>
          <w:szCs w:val="22"/>
        </w:rPr>
        <w:t>以下に引用注の付け方を例</w:t>
      </w:r>
      <w:r w:rsidRPr="008C1667">
        <w:rPr>
          <w:rFonts w:ascii="ＭＳ 明朝" w:hAnsi="ＭＳ 明朝" w:hint="eastAsia"/>
          <w:sz w:val="22"/>
          <w:szCs w:val="22"/>
        </w:rPr>
        <w:t>示しますので参考にしてください。</w:t>
      </w:r>
    </w:p>
    <w:p w:rsidR="002016E7" w:rsidRDefault="002016E7" w:rsidP="002016E7">
      <w:pPr>
        <w:rPr>
          <w:rFonts w:ascii="ＭＳ 明朝" w:hAnsi="ＭＳ 明朝"/>
          <w:szCs w:val="18"/>
        </w:rPr>
      </w:pPr>
    </w:p>
    <w:p w:rsidR="002016E7" w:rsidRPr="008C1667" w:rsidRDefault="002016E7" w:rsidP="002016E7">
      <w:pPr>
        <w:ind w:leftChars="100" w:left="641" w:rightChars="203" w:right="421" w:hangingChars="200" w:hanging="434"/>
        <w:rPr>
          <w:rFonts w:ascii="ＭＳ 明朝" w:hAnsi="ＭＳ 明朝"/>
          <w:sz w:val="22"/>
          <w:szCs w:val="22"/>
        </w:rPr>
      </w:pPr>
      <w:r>
        <w:rPr>
          <w:rFonts w:ascii="ＭＳ 明朝" w:hAnsi="ＭＳ 明朝" w:hint="eastAsia"/>
          <w:sz w:val="22"/>
          <w:szCs w:val="22"/>
        </w:rPr>
        <w:t>Ⅰ</w:t>
      </w:r>
      <w:r w:rsidRPr="008C1667">
        <w:rPr>
          <w:rFonts w:ascii="ＭＳ 明朝" w:hAnsi="ＭＳ 明朝" w:hint="eastAsia"/>
          <w:sz w:val="22"/>
          <w:szCs w:val="22"/>
        </w:rPr>
        <w:t>．参照箇所や引用には必ず注番号を付け、出所を明記する。注は本文の文末に、所定の形式で注番号順に記載する。</w:t>
      </w:r>
    </w:p>
    <w:p w:rsidR="002016E7" w:rsidRPr="00013FF5" w:rsidRDefault="002016E7" w:rsidP="002016E7">
      <w:pPr>
        <w:ind w:firstLineChars="100" w:firstLine="207"/>
        <w:rPr>
          <w:rFonts w:ascii="ＭＳ 明朝" w:hAnsi="ＭＳ 明朝"/>
          <w:szCs w:val="21"/>
        </w:rPr>
      </w:pPr>
    </w:p>
    <w:p w:rsidR="002016E7" w:rsidRPr="00EA1184" w:rsidRDefault="002016E7" w:rsidP="002016E7">
      <w:pPr>
        <w:ind w:leftChars="150" w:left="622" w:hangingChars="150" w:hanging="311"/>
        <w:rPr>
          <w:rFonts w:ascii="ＭＳ 明朝" w:hAnsi="ＭＳ 明朝"/>
          <w:szCs w:val="18"/>
        </w:rPr>
      </w:pPr>
      <w:r w:rsidRPr="00EA1184">
        <w:rPr>
          <w:rFonts w:ascii="ＭＳ 明朝" w:hAnsi="ＭＳ 明朝" w:hint="eastAsia"/>
          <w:szCs w:val="18"/>
        </w:rPr>
        <w:t xml:space="preserve">　　①</w:t>
      </w:r>
      <w:r>
        <w:rPr>
          <w:rFonts w:ascii="ＭＳ 明朝" w:hAnsi="ＭＳ 明朝" w:hint="eastAsia"/>
          <w:szCs w:val="18"/>
        </w:rPr>
        <w:t xml:space="preserve"> </w:t>
      </w:r>
      <w:r w:rsidRPr="00EA1184">
        <w:rPr>
          <w:rFonts w:ascii="ＭＳ 明朝" w:hAnsi="ＭＳ 明朝" w:hint="eastAsia"/>
          <w:szCs w:val="18"/>
        </w:rPr>
        <w:t>注番号は通し番号とし、</w:t>
      </w:r>
      <w:r>
        <w:rPr>
          <w:rFonts w:ascii="ＭＳ 明朝" w:hAnsi="ＭＳ 明朝" w:hint="eastAsia"/>
          <w:szCs w:val="18"/>
        </w:rPr>
        <w:t>参照箇所や引用の直後</w:t>
      </w:r>
      <w:r w:rsidRPr="00EA1184">
        <w:rPr>
          <w:rFonts w:ascii="ＭＳ 明朝" w:hAnsi="ＭＳ 明朝" w:hint="eastAsia"/>
          <w:szCs w:val="18"/>
        </w:rPr>
        <w:t>につける。</w:t>
      </w:r>
    </w:p>
    <w:p w:rsidR="002016E7" w:rsidRPr="00EA1184" w:rsidRDefault="002016E7" w:rsidP="002016E7">
      <w:pPr>
        <w:ind w:leftChars="151" w:left="1036" w:rightChars="403" w:right="835" w:hangingChars="349" w:hanging="723"/>
        <w:rPr>
          <w:rFonts w:ascii="ＭＳ 明朝" w:hAnsi="ＭＳ 明朝"/>
          <w:szCs w:val="18"/>
        </w:rPr>
      </w:pPr>
      <w:r w:rsidRPr="00EA1184">
        <w:rPr>
          <w:rFonts w:ascii="ＭＳ 明朝" w:hAnsi="ＭＳ 明朝" w:hint="eastAsia"/>
          <w:szCs w:val="18"/>
        </w:rPr>
        <w:t xml:space="preserve">　　②</w:t>
      </w:r>
      <w:r>
        <w:rPr>
          <w:rFonts w:ascii="ＭＳ 明朝" w:hAnsi="ＭＳ 明朝" w:hint="eastAsia"/>
          <w:szCs w:val="18"/>
        </w:rPr>
        <w:t xml:space="preserve"> </w:t>
      </w:r>
      <w:r w:rsidRPr="00EA1184">
        <w:rPr>
          <w:rFonts w:ascii="ＭＳ 明朝" w:hAnsi="ＭＳ 明朝" w:hint="eastAsia"/>
          <w:szCs w:val="18"/>
        </w:rPr>
        <w:t>単行本や雑誌の書名の表記は次の方式による。和書は、『</w:t>
      </w:r>
      <w:r>
        <w:rPr>
          <w:rFonts w:ascii="ＭＳ 明朝" w:hAnsi="ＭＳ 明朝" w:hint="eastAsia"/>
          <w:szCs w:val="18"/>
        </w:rPr>
        <w:t xml:space="preserve">　</w:t>
      </w:r>
      <w:r w:rsidRPr="00EA1184">
        <w:rPr>
          <w:rFonts w:ascii="ＭＳ 明朝" w:hAnsi="ＭＳ 明朝" w:hint="eastAsia"/>
          <w:szCs w:val="18"/>
        </w:rPr>
        <w:t>』でくくり、洋書はイタリック（斜体文字）で書く。</w:t>
      </w:r>
    </w:p>
    <w:p w:rsidR="002016E7" w:rsidRPr="00EA1184" w:rsidRDefault="002016E7" w:rsidP="002016E7">
      <w:pPr>
        <w:ind w:leftChars="150" w:left="622" w:hangingChars="150" w:hanging="311"/>
        <w:rPr>
          <w:rFonts w:ascii="ＭＳ 明朝" w:hAnsi="ＭＳ 明朝"/>
          <w:szCs w:val="18"/>
        </w:rPr>
      </w:pPr>
      <w:r w:rsidRPr="00EA1184">
        <w:rPr>
          <w:rFonts w:ascii="ＭＳ 明朝" w:hAnsi="ＭＳ 明朝" w:hint="eastAsia"/>
          <w:szCs w:val="18"/>
        </w:rPr>
        <w:t xml:space="preserve">　　③</w:t>
      </w:r>
      <w:r>
        <w:rPr>
          <w:rFonts w:ascii="ＭＳ 明朝" w:hAnsi="ＭＳ 明朝" w:hint="eastAsia"/>
          <w:szCs w:val="18"/>
        </w:rPr>
        <w:t xml:space="preserve"> </w:t>
      </w:r>
      <w:r w:rsidRPr="00EA1184">
        <w:rPr>
          <w:rFonts w:ascii="ＭＳ 明朝" w:hAnsi="ＭＳ 明朝" w:hint="eastAsia"/>
          <w:szCs w:val="18"/>
        </w:rPr>
        <w:t>論文名は、和書は「　」で、洋書は“　”でくくる。</w:t>
      </w:r>
    </w:p>
    <w:p w:rsidR="002016E7" w:rsidRPr="00EA1184" w:rsidRDefault="002016E7" w:rsidP="002016E7">
      <w:pPr>
        <w:ind w:leftChars="150" w:left="1034" w:rightChars="403" w:right="835" w:hangingChars="349" w:hanging="723"/>
        <w:rPr>
          <w:rFonts w:ascii="ＭＳ 明朝" w:hAnsi="ＭＳ 明朝"/>
          <w:szCs w:val="18"/>
        </w:rPr>
      </w:pPr>
      <w:r w:rsidRPr="00EA1184">
        <w:rPr>
          <w:rFonts w:ascii="ＭＳ 明朝" w:hAnsi="ＭＳ 明朝" w:hint="eastAsia"/>
          <w:szCs w:val="18"/>
        </w:rPr>
        <w:t xml:space="preserve">　　④</w:t>
      </w:r>
      <w:r>
        <w:rPr>
          <w:rFonts w:ascii="ＭＳ 明朝" w:hAnsi="ＭＳ 明朝" w:hint="eastAsia"/>
          <w:szCs w:val="18"/>
        </w:rPr>
        <w:t xml:space="preserve"> </w:t>
      </w:r>
      <w:r w:rsidRPr="00EA1184">
        <w:rPr>
          <w:rFonts w:ascii="ＭＳ 明朝" w:hAnsi="ＭＳ 明朝" w:hint="eastAsia"/>
          <w:szCs w:val="18"/>
        </w:rPr>
        <w:t>初めて出てきた単行本の場合は、執筆者姓名『書名』発行所、発行年、頁、そして最後にピリオドの順で表記する。なお、洋書の場合は、カンマ（,）の後にスペースを1ついれること。</w:t>
      </w:r>
    </w:p>
    <w:p w:rsidR="002016E7" w:rsidRPr="00232381" w:rsidRDefault="002016E7" w:rsidP="002016E7">
      <w:pPr>
        <w:ind w:leftChars="100" w:left="1034" w:rightChars="303" w:right="628" w:hangingChars="399" w:hanging="827"/>
        <w:rPr>
          <w:rFonts w:ascii="ＭＳ 明朝" w:hAnsi="ＭＳ 明朝"/>
          <w:color w:val="000000"/>
          <w:szCs w:val="18"/>
        </w:rPr>
      </w:pPr>
      <w:r w:rsidRPr="00EA1184">
        <w:rPr>
          <w:rFonts w:ascii="ＭＳ 明朝" w:hAnsi="ＭＳ 明朝" w:hint="eastAsia"/>
          <w:szCs w:val="18"/>
        </w:rPr>
        <w:t xml:space="preserve">　　</w:t>
      </w:r>
      <w:r>
        <w:rPr>
          <w:rFonts w:ascii="ＭＳ 明朝" w:hAnsi="ＭＳ 明朝" w:hint="eastAsia"/>
          <w:szCs w:val="18"/>
        </w:rPr>
        <w:t xml:space="preserve"> </w:t>
      </w:r>
      <w:r w:rsidRPr="00EA1184">
        <w:rPr>
          <w:rFonts w:ascii="ＭＳ 明朝" w:hAnsi="ＭＳ 明朝" w:hint="eastAsia"/>
          <w:szCs w:val="18"/>
        </w:rPr>
        <w:t>⑤</w:t>
      </w:r>
      <w:r>
        <w:rPr>
          <w:rFonts w:ascii="ＭＳ 明朝" w:hAnsi="ＭＳ 明朝" w:hint="eastAsia"/>
          <w:szCs w:val="18"/>
        </w:rPr>
        <w:t xml:space="preserve"> </w:t>
      </w:r>
      <w:r w:rsidRPr="00EA1184">
        <w:rPr>
          <w:rFonts w:ascii="ＭＳ 明朝" w:hAnsi="ＭＳ 明朝" w:hint="eastAsia"/>
          <w:szCs w:val="18"/>
        </w:rPr>
        <w:t>初めて出てきた論文の場合は、執筆者姓名「論文名」『雑誌名』巻号数、刊行</w:t>
      </w:r>
      <w:r w:rsidRPr="00232381">
        <w:rPr>
          <w:rFonts w:ascii="ＭＳ 明朝" w:hAnsi="ＭＳ 明朝" w:hint="eastAsia"/>
          <w:color w:val="000000"/>
          <w:szCs w:val="18"/>
        </w:rPr>
        <w:t>年、頁、そして最後にピリオドの順で表記する。なお、同名の雑誌がある場合は発行所を明記する。</w:t>
      </w:r>
    </w:p>
    <w:p w:rsidR="002016E7" w:rsidRPr="00232381" w:rsidRDefault="002016E7" w:rsidP="002016E7">
      <w:pPr>
        <w:ind w:leftChars="100" w:left="1034" w:rightChars="303" w:right="628" w:hangingChars="399" w:hanging="827"/>
        <w:rPr>
          <w:rFonts w:ascii="ＭＳ 明朝" w:hAnsi="ＭＳ 明朝"/>
          <w:color w:val="000000"/>
          <w:szCs w:val="18"/>
        </w:rPr>
      </w:pPr>
      <w:r w:rsidRPr="00232381">
        <w:rPr>
          <w:rFonts w:ascii="ＭＳ 明朝" w:hAnsi="ＭＳ 明朝" w:hint="eastAsia"/>
          <w:color w:val="000000"/>
          <w:szCs w:val="18"/>
        </w:rPr>
        <w:t xml:space="preserve">　　 ⑥ 頁の表記は、p.</w:t>
      </w:r>
      <w:r>
        <w:rPr>
          <w:rFonts w:ascii="ＭＳ 明朝" w:hAnsi="ＭＳ 明朝" w:hint="eastAsia"/>
          <w:color w:val="000000"/>
          <w:szCs w:val="18"/>
        </w:rPr>
        <w:t xml:space="preserve"> </w:t>
      </w:r>
      <w:r w:rsidRPr="00232381">
        <w:rPr>
          <w:rFonts w:ascii="ＭＳ 明朝" w:hAnsi="ＭＳ 明朝" w:hint="eastAsia"/>
          <w:color w:val="000000"/>
          <w:szCs w:val="18"/>
        </w:rPr>
        <w:t>xxまたはpp.</w:t>
      </w:r>
      <w:r>
        <w:rPr>
          <w:rFonts w:ascii="ＭＳ 明朝" w:hAnsi="ＭＳ 明朝" w:hint="eastAsia"/>
          <w:color w:val="000000"/>
          <w:szCs w:val="18"/>
        </w:rPr>
        <w:t xml:space="preserve"> </w:t>
      </w:r>
      <w:r w:rsidRPr="00232381">
        <w:rPr>
          <w:rFonts w:ascii="ＭＳ 明朝" w:hAnsi="ＭＳ 明朝" w:hint="eastAsia"/>
          <w:color w:val="000000"/>
          <w:szCs w:val="18"/>
        </w:rPr>
        <w:t>xx-xxとする。ただし、和書の場合は、○○頁とか○○－○○頁としてもよい。</w:t>
      </w:r>
    </w:p>
    <w:p w:rsidR="002016E7" w:rsidRPr="00EA1184" w:rsidRDefault="002016E7" w:rsidP="002016E7">
      <w:pPr>
        <w:ind w:leftChars="100" w:left="1034" w:rightChars="303" w:right="628" w:hangingChars="399" w:hanging="827"/>
        <w:rPr>
          <w:rFonts w:ascii="ＭＳ 明朝"/>
        </w:rPr>
      </w:pPr>
      <w:r w:rsidRPr="00232381">
        <w:rPr>
          <w:rFonts w:ascii="ＭＳ 明朝" w:hAnsi="ＭＳ 明朝" w:hint="eastAsia"/>
          <w:color w:val="000000"/>
          <w:szCs w:val="18"/>
        </w:rPr>
        <w:t xml:space="preserve">  　</w:t>
      </w:r>
      <w:r>
        <w:rPr>
          <w:rFonts w:ascii="ＭＳ 明朝" w:hAnsi="ＭＳ 明朝" w:hint="eastAsia"/>
          <w:szCs w:val="18"/>
        </w:rPr>
        <w:t xml:space="preserve"> ⑦ </w:t>
      </w:r>
      <w:r w:rsidRPr="00EA1184">
        <w:rPr>
          <w:rFonts w:ascii="ＭＳ 明朝" w:hAnsi="ＭＳ 明朝" w:hint="eastAsia"/>
          <w:szCs w:val="18"/>
        </w:rPr>
        <w:t>続けて同一の文献や論文を引用する場合は簡略表示する。和書は、同上（同書、同上書、同訳書、同上訳書、同論文、同上論文も可）、洋書は、Ibid.（ラテン語のIbiden（同じ場所に）の略）と表記する。</w:t>
      </w:r>
    </w:p>
    <w:p w:rsidR="002016E7" w:rsidRDefault="002016E7" w:rsidP="002016E7">
      <w:pPr>
        <w:ind w:firstLineChars="200" w:firstLine="414"/>
        <w:rPr>
          <w:rFonts w:ascii="ＭＳ 明朝"/>
        </w:rPr>
      </w:pPr>
      <w:r w:rsidRPr="00EA1184">
        <w:rPr>
          <w:rFonts w:ascii="ＭＳ 明朝" w:hint="eastAsia"/>
        </w:rPr>
        <w:t xml:space="preserve">　</w:t>
      </w:r>
      <w:r>
        <w:rPr>
          <w:rFonts w:ascii="ＭＳ 明朝" w:hint="eastAsia"/>
        </w:rPr>
        <w:t xml:space="preserve"> ⑧ 新聞記事、インターネット資料の表記についても以下に記す。</w:t>
      </w:r>
    </w:p>
    <w:p w:rsidR="002016E7" w:rsidRDefault="002016E7" w:rsidP="002016E7">
      <w:pPr>
        <w:rPr>
          <w:rFonts w:ascii="ＭＳ 明朝"/>
        </w:rPr>
      </w:pPr>
    </w:p>
    <w:p w:rsidR="002016E7" w:rsidRDefault="002016E7" w:rsidP="002016E7">
      <w:pPr>
        <w:rPr>
          <w:rFonts w:ascii="ＭＳ 明朝"/>
        </w:rPr>
      </w:pPr>
    </w:p>
    <w:p w:rsidR="002016E7" w:rsidRDefault="002016E7" w:rsidP="002016E7">
      <w:pPr>
        <w:rPr>
          <w:rFonts w:ascii="ＭＳ 明朝"/>
        </w:rPr>
      </w:pPr>
    </w:p>
    <w:p w:rsidR="002016E7" w:rsidRDefault="002016E7" w:rsidP="002016E7">
      <w:pPr>
        <w:rPr>
          <w:rFonts w:ascii="ＭＳ 明朝"/>
        </w:rPr>
      </w:pPr>
    </w:p>
    <w:p w:rsidR="002016E7" w:rsidRDefault="002016E7" w:rsidP="002016E7">
      <w:pPr>
        <w:rPr>
          <w:rFonts w:ascii="ＭＳ 明朝"/>
        </w:rPr>
      </w:pPr>
    </w:p>
    <w:p w:rsidR="002016E7" w:rsidRPr="00C57851" w:rsidRDefault="002016E7" w:rsidP="002016E7">
      <w:pPr>
        <w:ind w:firstLineChars="2100" w:firstLine="4560"/>
        <w:rPr>
          <w:rFonts w:ascii="ＭＳ 明朝"/>
          <w:sz w:val="22"/>
          <w:szCs w:val="22"/>
        </w:rPr>
      </w:pPr>
      <w:r w:rsidRPr="00BC787E">
        <w:rPr>
          <w:rFonts w:ascii="ＭＳ 明朝" w:hint="eastAsia"/>
          <w:sz w:val="22"/>
          <w:szCs w:val="22"/>
        </w:rPr>
        <w:t>1/2</w:t>
      </w:r>
    </w:p>
    <w:p w:rsidR="002016E7" w:rsidRPr="008C1667" w:rsidRDefault="002016E7" w:rsidP="002016E7">
      <w:pPr>
        <w:tabs>
          <w:tab w:val="left" w:pos="207"/>
        </w:tabs>
        <w:rPr>
          <w:rFonts w:ascii="ＭＳ 明朝"/>
          <w:sz w:val="22"/>
          <w:szCs w:val="22"/>
        </w:rPr>
      </w:pPr>
      <w:r w:rsidRPr="00EA1184">
        <w:rPr>
          <w:rFonts w:ascii="ＭＳ 明朝" w:hint="eastAsia"/>
        </w:rPr>
        <w:lastRenderedPageBreak/>
        <w:t xml:space="preserve">　</w:t>
      </w:r>
      <w:r>
        <w:rPr>
          <w:rFonts w:ascii="ＭＳ 明朝" w:hint="eastAsia"/>
        </w:rPr>
        <w:t>Ⅱ</w:t>
      </w:r>
      <w:r w:rsidRPr="008C1667">
        <w:rPr>
          <w:rFonts w:ascii="ＭＳ 明朝" w:hAnsi="ＭＳ 明朝" w:hint="eastAsia"/>
          <w:sz w:val="22"/>
          <w:szCs w:val="22"/>
        </w:rPr>
        <w:t>．</w:t>
      </w:r>
      <w:r w:rsidRPr="008C1667">
        <w:rPr>
          <w:rFonts w:ascii="ＭＳ 明朝" w:hint="eastAsia"/>
          <w:sz w:val="22"/>
          <w:szCs w:val="22"/>
        </w:rPr>
        <w:t>「注」の実例</w:t>
      </w:r>
    </w:p>
    <w:p w:rsidR="002016E7" w:rsidRPr="00EA1184" w:rsidRDefault="002016E7" w:rsidP="002016E7">
      <w:pPr>
        <w:ind w:firstLineChars="349" w:firstLine="723"/>
        <w:rPr>
          <w:rFonts w:ascii="ＭＳ 明朝"/>
        </w:rPr>
      </w:pPr>
      <w:r w:rsidRPr="00EA1184">
        <w:rPr>
          <w:rFonts w:ascii="ＭＳ 明朝" w:hint="eastAsia"/>
        </w:rPr>
        <w:t>(1)</w:t>
      </w:r>
      <w:r>
        <w:rPr>
          <w:rFonts w:ascii="ＭＳ 明朝" w:hint="eastAsia"/>
        </w:rPr>
        <w:t xml:space="preserve"> </w:t>
      </w:r>
      <w:r w:rsidRPr="00D803A2">
        <w:rPr>
          <w:rFonts w:ascii="ＭＳ 明朝" w:hint="eastAsia"/>
        </w:rPr>
        <w:t>織田正吉</w:t>
      </w:r>
      <w:r>
        <w:rPr>
          <w:rFonts w:ascii="ＭＳ 明朝" w:hint="eastAsia"/>
        </w:rPr>
        <w:t>『</w:t>
      </w:r>
      <w:r w:rsidRPr="00D803A2">
        <w:rPr>
          <w:rFonts w:ascii="ＭＳ 明朝" w:hint="eastAsia"/>
        </w:rPr>
        <w:t>笑いのこころユーモアのセンス</w:t>
      </w:r>
      <w:r>
        <w:rPr>
          <w:rFonts w:ascii="ＭＳ 明朝" w:hint="eastAsia"/>
        </w:rPr>
        <w:t>』岩波書店、2010年、</w:t>
      </w:r>
      <w:r w:rsidRPr="00EA1184">
        <w:rPr>
          <w:rFonts w:ascii="ＭＳ 明朝" w:hint="eastAsia"/>
        </w:rPr>
        <w:t>24頁.</w:t>
      </w:r>
    </w:p>
    <w:p w:rsidR="002016E7" w:rsidRPr="00EA1184" w:rsidRDefault="002016E7" w:rsidP="002016E7">
      <w:pPr>
        <w:tabs>
          <w:tab w:val="left" w:pos="621"/>
        </w:tabs>
        <w:ind w:firstLineChars="200" w:firstLine="414"/>
        <w:rPr>
          <w:rFonts w:ascii="ＭＳ 明朝"/>
        </w:rPr>
      </w:pPr>
      <w:r w:rsidRPr="00EA1184">
        <w:rPr>
          <w:rFonts w:ascii="ＭＳ 明朝" w:hint="eastAsia"/>
        </w:rPr>
        <w:t xml:space="preserve">　</w:t>
      </w:r>
      <w:r>
        <w:rPr>
          <w:rFonts w:ascii="ＭＳ 明朝" w:hint="eastAsia"/>
        </w:rPr>
        <w:t xml:space="preserve"> </w:t>
      </w:r>
      <w:r w:rsidRPr="00EA1184">
        <w:rPr>
          <w:rFonts w:ascii="ＭＳ 明朝" w:hint="eastAsia"/>
        </w:rPr>
        <w:t>(2)</w:t>
      </w:r>
      <w:r>
        <w:rPr>
          <w:rFonts w:ascii="ＭＳ 明朝" w:hint="eastAsia"/>
        </w:rPr>
        <w:t xml:space="preserve"> </w:t>
      </w:r>
      <w:r w:rsidRPr="00EA1184">
        <w:rPr>
          <w:rFonts w:ascii="ＭＳ 明朝" w:hint="eastAsia"/>
        </w:rPr>
        <w:t>同上、</w:t>
      </w:r>
      <w:r>
        <w:rPr>
          <w:rFonts w:ascii="ＭＳ 明朝" w:hint="eastAsia"/>
        </w:rPr>
        <w:t>72</w:t>
      </w:r>
      <w:r w:rsidRPr="00EA1184">
        <w:rPr>
          <w:rFonts w:ascii="ＭＳ 明朝" w:hint="eastAsia"/>
        </w:rPr>
        <w:t>頁.</w:t>
      </w:r>
    </w:p>
    <w:p w:rsidR="002016E7" w:rsidRDefault="002016E7" w:rsidP="002016E7">
      <w:pPr>
        <w:ind w:rightChars="303" w:right="628" w:firstLineChars="100" w:firstLine="207"/>
        <w:rPr>
          <w:rFonts w:ascii="ＭＳ 明朝"/>
        </w:rPr>
      </w:pPr>
      <w:r w:rsidRPr="00EA1184">
        <w:rPr>
          <w:rFonts w:ascii="ＭＳ 明朝" w:hint="eastAsia"/>
        </w:rPr>
        <w:t xml:space="preserve">  </w:t>
      </w:r>
      <w:r>
        <w:rPr>
          <w:rFonts w:ascii="ＭＳ 明朝" w:hint="eastAsia"/>
        </w:rPr>
        <w:t xml:space="preserve">   </w:t>
      </w:r>
      <w:r w:rsidRPr="00EA1184">
        <w:rPr>
          <w:rFonts w:ascii="ＭＳ 明朝" w:hint="eastAsia"/>
        </w:rPr>
        <w:t>(3)</w:t>
      </w:r>
      <w:r>
        <w:rPr>
          <w:rFonts w:ascii="ＭＳ 明朝" w:hint="eastAsia"/>
        </w:rPr>
        <w:t xml:space="preserve"> </w:t>
      </w:r>
      <w:r w:rsidRPr="000B2CA4">
        <w:rPr>
          <w:rFonts w:ascii="ＭＳ 明朝" w:hint="eastAsia"/>
        </w:rPr>
        <w:t>中井宏次</w:t>
      </w:r>
      <w:r>
        <w:rPr>
          <w:rFonts w:ascii="ＭＳ 明朝" w:hint="eastAsia"/>
        </w:rPr>
        <w:t>「</w:t>
      </w:r>
      <w:r w:rsidRPr="000B2CA4">
        <w:rPr>
          <w:rFonts w:ascii="ＭＳ 明朝" w:hint="eastAsia"/>
        </w:rPr>
        <w:t>笑いと社会現象</w:t>
      </w:r>
      <w:r>
        <w:rPr>
          <w:rFonts w:ascii="ＭＳ 明朝" w:hint="eastAsia"/>
        </w:rPr>
        <w:t>」</w:t>
      </w:r>
      <w:r w:rsidRPr="000B2CA4">
        <w:rPr>
          <w:rFonts w:ascii="ＭＳ 明朝" w:hint="eastAsia"/>
        </w:rPr>
        <w:t>(特集 日本人と笑い)</w:t>
      </w:r>
      <w:r w:rsidRPr="00EA1184">
        <w:rPr>
          <w:rFonts w:ascii="ＭＳ 明朝" w:hint="eastAsia"/>
        </w:rPr>
        <w:t>『</w:t>
      </w:r>
      <w:r w:rsidRPr="000B2CA4">
        <w:rPr>
          <w:rFonts w:ascii="ＭＳ 明朝" w:hint="eastAsia"/>
        </w:rPr>
        <w:t>国文学</w:t>
      </w:r>
      <w:r>
        <w:rPr>
          <w:rFonts w:ascii="ＭＳ 明朝" w:hint="eastAsia"/>
        </w:rPr>
        <w:t xml:space="preserve"> </w:t>
      </w:r>
      <w:r w:rsidRPr="000B2CA4">
        <w:rPr>
          <w:rFonts w:ascii="ＭＳ 明朝" w:hint="eastAsia"/>
        </w:rPr>
        <w:t>解釈と鑑賞</w:t>
      </w:r>
      <w:r w:rsidRPr="00EA1184">
        <w:rPr>
          <w:rFonts w:ascii="ＭＳ 明朝" w:hint="eastAsia"/>
        </w:rPr>
        <w:t>』</w:t>
      </w:r>
      <w:r w:rsidRPr="000B2CA4">
        <w:rPr>
          <w:rFonts w:ascii="ＭＳ 明朝"/>
        </w:rPr>
        <w:t>75(5)</w:t>
      </w:r>
      <w:r>
        <w:rPr>
          <w:rFonts w:ascii="ＭＳ 明朝" w:hint="eastAsia"/>
        </w:rPr>
        <w:t>、</w:t>
      </w:r>
    </w:p>
    <w:p w:rsidR="002016E7" w:rsidRPr="00EA1184" w:rsidRDefault="002016E7" w:rsidP="002016E7">
      <w:pPr>
        <w:ind w:leftChars="300" w:left="621" w:firstLineChars="298" w:firstLine="617"/>
        <w:rPr>
          <w:rFonts w:ascii="ＭＳ 明朝"/>
        </w:rPr>
      </w:pPr>
      <w:r>
        <w:rPr>
          <w:rFonts w:ascii="ＭＳ 明朝" w:hint="eastAsia"/>
        </w:rPr>
        <w:t>2010年、</w:t>
      </w:r>
      <w:r w:rsidRPr="000B2CA4">
        <w:rPr>
          <w:rFonts w:ascii="ＭＳ 明朝"/>
        </w:rPr>
        <w:t>133-140</w:t>
      </w:r>
      <w:r>
        <w:rPr>
          <w:rFonts w:ascii="ＭＳ 明朝" w:hint="eastAsia"/>
        </w:rPr>
        <w:t>頁</w:t>
      </w:r>
      <w:r w:rsidRPr="00EA1184">
        <w:rPr>
          <w:rFonts w:ascii="ＭＳ 明朝" w:hint="eastAsia"/>
        </w:rPr>
        <w:t>.</w:t>
      </w:r>
    </w:p>
    <w:p w:rsidR="002016E7" w:rsidRPr="00EA1184" w:rsidRDefault="002016E7" w:rsidP="002016E7">
      <w:pPr>
        <w:ind w:firstLineChars="349" w:firstLine="723"/>
        <w:rPr>
          <w:rFonts w:ascii="ＭＳ 明朝"/>
        </w:rPr>
      </w:pPr>
      <w:r w:rsidRPr="00EA1184">
        <w:rPr>
          <w:rFonts w:ascii="ＭＳ 明朝" w:hint="eastAsia"/>
        </w:rPr>
        <w:t>(4)</w:t>
      </w:r>
      <w:r>
        <w:rPr>
          <w:rFonts w:ascii="ＭＳ 明朝" w:hint="eastAsia"/>
        </w:rPr>
        <w:t xml:space="preserve"> 織田</w:t>
      </w:r>
      <w:r w:rsidRPr="00EA1184">
        <w:rPr>
          <w:rFonts w:ascii="ＭＳ 明朝" w:hint="eastAsia"/>
        </w:rPr>
        <w:t>、前掲書、</w:t>
      </w:r>
      <w:r>
        <w:rPr>
          <w:rFonts w:ascii="ＭＳ 明朝" w:hint="eastAsia"/>
        </w:rPr>
        <w:t>180</w:t>
      </w:r>
      <w:r w:rsidRPr="00EA1184">
        <w:rPr>
          <w:rFonts w:ascii="ＭＳ 明朝" w:hint="eastAsia"/>
        </w:rPr>
        <w:t>頁.</w:t>
      </w:r>
    </w:p>
    <w:p w:rsidR="002016E7" w:rsidRPr="00EA1184" w:rsidRDefault="002016E7" w:rsidP="002016E7">
      <w:pPr>
        <w:ind w:firstLineChars="349" w:firstLine="723"/>
        <w:rPr>
          <w:rFonts w:ascii="ＭＳ 明朝"/>
        </w:rPr>
      </w:pPr>
      <w:r w:rsidRPr="00EA1184">
        <w:rPr>
          <w:rFonts w:ascii="ＭＳ 明朝" w:hint="eastAsia"/>
        </w:rPr>
        <w:t>(5)</w:t>
      </w:r>
      <w:r>
        <w:rPr>
          <w:rFonts w:ascii="ＭＳ 明朝" w:hint="eastAsia"/>
        </w:rPr>
        <w:t xml:space="preserve"> 中井</w:t>
      </w:r>
      <w:r w:rsidRPr="00EA1184">
        <w:rPr>
          <w:rFonts w:ascii="ＭＳ 明朝" w:hint="eastAsia"/>
        </w:rPr>
        <w:t>、前論文、</w:t>
      </w:r>
      <w:r>
        <w:rPr>
          <w:rFonts w:ascii="ＭＳ 明朝" w:hint="eastAsia"/>
        </w:rPr>
        <w:t>136</w:t>
      </w:r>
      <w:r w:rsidRPr="00EA1184">
        <w:rPr>
          <w:rFonts w:ascii="ＭＳ 明朝" w:hint="eastAsia"/>
        </w:rPr>
        <w:t>頁.</w:t>
      </w:r>
    </w:p>
    <w:p w:rsidR="002016E7" w:rsidRPr="00232381" w:rsidRDefault="002016E7" w:rsidP="002016E7">
      <w:pPr>
        <w:ind w:firstLineChars="349" w:firstLine="723"/>
        <w:rPr>
          <w:rFonts w:ascii="ＭＳ 明朝"/>
          <w:color w:val="000000"/>
        </w:rPr>
      </w:pPr>
      <w:r w:rsidRPr="00232381">
        <w:rPr>
          <w:rFonts w:ascii="ＭＳ 明朝" w:hint="eastAsia"/>
          <w:color w:val="000000"/>
        </w:rPr>
        <w:t>(6) 代表的な事例としては以下のものが挙げられる。○○○○○○。</w:t>
      </w:r>
    </w:p>
    <w:p w:rsidR="002016E7" w:rsidRPr="006B4154" w:rsidRDefault="002016E7" w:rsidP="002016E7">
      <w:pPr>
        <w:ind w:leftChars="348" w:left="1135" w:rightChars="303" w:right="628" w:hangingChars="200" w:hanging="414"/>
        <w:rPr>
          <w:rFonts w:ascii="ＭＳ 明朝"/>
          <w:color w:val="000000"/>
        </w:rPr>
      </w:pPr>
      <w:r w:rsidRPr="00232381">
        <w:rPr>
          <w:rFonts w:ascii="ＭＳ 明朝" w:hint="eastAsia"/>
          <w:color w:val="000000"/>
        </w:rPr>
        <w:t>(7</w:t>
      </w:r>
      <w:r w:rsidRPr="006B4154">
        <w:rPr>
          <w:rFonts w:ascii="ＭＳ 明朝" w:hint="eastAsia"/>
          <w:color w:val="000000"/>
        </w:rPr>
        <w:t>) 佐藤好美「介護報酬改定への課題－地域包括ケアを阻む支給限度額－」『社会福祉研究』第121号、2014年、pp.109-113.</w:t>
      </w:r>
    </w:p>
    <w:p w:rsidR="002016E7" w:rsidRPr="00232381" w:rsidRDefault="002016E7" w:rsidP="002016E7">
      <w:pPr>
        <w:ind w:leftChars="293" w:left="1017" w:rightChars="-21" w:right="-44" w:hangingChars="198" w:hanging="410"/>
        <w:rPr>
          <w:rFonts w:ascii="ＭＳ 明朝"/>
          <w:color w:val="000000"/>
        </w:rPr>
      </w:pPr>
      <w:r w:rsidRPr="00232381">
        <w:rPr>
          <w:rFonts w:ascii="ＭＳ 明朝" w:hint="eastAsia"/>
          <w:color w:val="000000"/>
        </w:rPr>
        <w:t xml:space="preserve"> (8) Hass,</w:t>
      </w:r>
      <w:r w:rsidRPr="00232381">
        <w:rPr>
          <w:color w:val="000000"/>
        </w:rPr>
        <w:t xml:space="preserve"> </w:t>
      </w:r>
      <w:r w:rsidRPr="00232381">
        <w:rPr>
          <w:rFonts w:ascii="ＭＳ 明朝"/>
          <w:color w:val="000000"/>
        </w:rPr>
        <w:t>Jeffrey K.</w:t>
      </w:r>
      <w:r w:rsidRPr="00232381">
        <w:rPr>
          <w:rFonts w:ascii="ＭＳ 明朝" w:hint="eastAsia"/>
          <w:color w:val="000000"/>
        </w:rPr>
        <w:t xml:space="preserve"> </w:t>
      </w:r>
      <w:r w:rsidRPr="00232381">
        <w:rPr>
          <w:rFonts w:ascii="ＭＳ 明朝"/>
          <w:i/>
          <w:color w:val="000000"/>
        </w:rPr>
        <w:t>Economic sociology</w:t>
      </w:r>
      <w:r w:rsidRPr="00232381">
        <w:rPr>
          <w:rFonts w:ascii="ＭＳ 明朝"/>
          <w:color w:val="000000"/>
        </w:rPr>
        <w:t>:</w:t>
      </w:r>
      <w:r w:rsidRPr="00232381">
        <w:rPr>
          <w:rFonts w:ascii="ＭＳ 明朝"/>
          <w:i/>
          <w:color w:val="000000"/>
        </w:rPr>
        <w:t xml:space="preserve"> an introduction</w:t>
      </w:r>
      <w:r w:rsidRPr="00232381">
        <w:rPr>
          <w:rFonts w:ascii="ＭＳ 明朝" w:hint="eastAsia"/>
          <w:color w:val="000000"/>
        </w:rPr>
        <w:t xml:space="preserve">, </w:t>
      </w:r>
      <w:r w:rsidRPr="00232381">
        <w:rPr>
          <w:rFonts w:ascii="ＭＳ 明朝"/>
          <w:color w:val="000000"/>
        </w:rPr>
        <w:t>Routledge, 2007</w:t>
      </w:r>
      <w:r w:rsidRPr="00232381">
        <w:rPr>
          <w:rFonts w:ascii="ＭＳ 明朝" w:hint="eastAsia"/>
          <w:color w:val="000000"/>
        </w:rPr>
        <w:t>, ｐ.</w:t>
      </w:r>
      <w:r>
        <w:rPr>
          <w:rFonts w:ascii="ＭＳ 明朝" w:hint="eastAsia"/>
          <w:color w:val="000000"/>
        </w:rPr>
        <w:t xml:space="preserve"> </w:t>
      </w:r>
      <w:r w:rsidRPr="00232381">
        <w:rPr>
          <w:rFonts w:ascii="ＭＳ 明朝" w:hint="eastAsia"/>
          <w:color w:val="000000"/>
        </w:rPr>
        <w:t>37.</w:t>
      </w:r>
    </w:p>
    <w:p w:rsidR="002016E7" w:rsidRPr="00232381" w:rsidRDefault="002016E7" w:rsidP="002016E7">
      <w:pPr>
        <w:ind w:firstLineChars="349" w:firstLine="723"/>
        <w:rPr>
          <w:rFonts w:ascii="ＭＳ 明朝"/>
          <w:color w:val="000000"/>
        </w:rPr>
      </w:pPr>
      <w:r w:rsidRPr="00232381">
        <w:rPr>
          <w:rFonts w:ascii="ＭＳ 明朝" w:hint="eastAsia"/>
          <w:color w:val="000000"/>
        </w:rPr>
        <w:t xml:space="preserve">(9) </w:t>
      </w:r>
      <w:r w:rsidRPr="00232381">
        <w:rPr>
          <w:rFonts w:ascii="ＭＳ 明朝" w:hint="eastAsia"/>
          <w:i/>
          <w:color w:val="000000"/>
        </w:rPr>
        <w:t>Ibid.</w:t>
      </w:r>
      <w:r w:rsidRPr="00232381">
        <w:rPr>
          <w:rFonts w:ascii="ＭＳ 明朝" w:hint="eastAsia"/>
          <w:color w:val="000000"/>
        </w:rPr>
        <w:t>, p.</w:t>
      </w:r>
      <w:r>
        <w:rPr>
          <w:rFonts w:ascii="ＭＳ 明朝" w:hint="eastAsia"/>
          <w:color w:val="000000"/>
        </w:rPr>
        <w:t xml:space="preserve"> </w:t>
      </w:r>
      <w:r w:rsidRPr="00232381">
        <w:rPr>
          <w:rFonts w:ascii="ＭＳ 明朝" w:hint="eastAsia"/>
          <w:color w:val="000000"/>
        </w:rPr>
        <w:t>153.</w:t>
      </w:r>
    </w:p>
    <w:p w:rsidR="002016E7" w:rsidRPr="00232381" w:rsidRDefault="002016E7" w:rsidP="002016E7">
      <w:pPr>
        <w:ind w:leftChars="349" w:left="1135" w:rightChars="303" w:right="628" w:hangingChars="199" w:hanging="412"/>
        <w:rPr>
          <w:rFonts w:ascii="ＭＳ 明朝"/>
          <w:color w:val="000000"/>
        </w:rPr>
      </w:pPr>
      <w:r w:rsidRPr="00232381">
        <w:rPr>
          <w:rFonts w:ascii="ＭＳ 明朝" w:hint="eastAsia"/>
          <w:color w:val="000000"/>
        </w:rPr>
        <w:t xml:space="preserve">(10) Hacker, Jacob S. </w:t>
      </w:r>
      <w:r w:rsidRPr="00232381">
        <w:rPr>
          <w:rFonts w:ascii="ＭＳ 明朝"/>
          <w:color w:val="000000"/>
        </w:rPr>
        <w:t>“</w:t>
      </w:r>
      <w:r w:rsidRPr="00232381">
        <w:rPr>
          <w:rFonts w:ascii="ＭＳ 明朝" w:hint="eastAsia"/>
          <w:color w:val="000000"/>
        </w:rPr>
        <w:t xml:space="preserve">The politics of risk privatization in </w:t>
      </w:r>
      <w:smartTag w:uri="urn:schemas-microsoft-com:office:smarttags" w:element="place">
        <w:smartTag w:uri="urn:schemas-microsoft-com:office:smarttags" w:element="country-region">
          <w:r w:rsidRPr="00232381">
            <w:rPr>
              <w:rFonts w:ascii="ＭＳ 明朝" w:hint="eastAsia"/>
              <w:color w:val="000000"/>
            </w:rPr>
            <w:t>U.S.</w:t>
          </w:r>
        </w:smartTag>
      </w:smartTag>
      <w:r w:rsidRPr="00232381">
        <w:rPr>
          <w:rFonts w:ascii="ＭＳ 明朝" w:hint="eastAsia"/>
          <w:color w:val="000000"/>
        </w:rPr>
        <w:t xml:space="preserve"> </w:t>
      </w:r>
      <w:r w:rsidRPr="00232381">
        <w:rPr>
          <w:rFonts w:ascii="ＭＳ 明朝"/>
          <w:color w:val="000000"/>
        </w:rPr>
        <w:t>social</w:t>
      </w:r>
      <w:r w:rsidRPr="00232381">
        <w:rPr>
          <w:rFonts w:ascii="ＭＳ 明朝" w:hint="eastAsia"/>
          <w:color w:val="000000"/>
        </w:rPr>
        <w:t xml:space="preserve"> policy</w:t>
      </w:r>
      <w:r w:rsidRPr="00232381">
        <w:rPr>
          <w:rFonts w:ascii="ＭＳ 明朝"/>
          <w:color w:val="000000"/>
        </w:rPr>
        <w:t>”</w:t>
      </w:r>
      <w:r w:rsidRPr="00232381">
        <w:rPr>
          <w:rFonts w:ascii="ＭＳ 明朝" w:hint="eastAsia"/>
          <w:color w:val="000000"/>
        </w:rPr>
        <w:t xml:space="preserve">, in </w:t>
      </w:r>
      <w:r w:rsidRPr="00232381">
        <w:rPr>
          <w:rFonts w:ascii="ＭＳ 明朝"/>
          <w:color w:val="000000"/>
        </w:rPr>
        <w:t>Landy, Marc K.</w:t>
      </w:r>
      <w:r w:rsidRPr="00232381">
        <w:rPr>
          <w:rFonts w:ascii="ＭＳ 明朝" w:hint="eastAsia"/>
          <w:color w:val="000000"/>
        </w:rPr>
        <w:t xml:space="preserve">, </w:t>
      </w:r>
      <w:r w:rsidRPr="00232381">
        <w:rPr>
          <w:rFonts w:ascii="ＭＳ 明朝"/>
          <w:color w:val="000000"/>
        </w:rPr>
        <w:t>Martin A. Levin</w:t>
      </w:r>
      <w:r w:rsidRPr="00232381">
        <w:rPr>
          <w:rFonts w:ascii="ＭＳ 明朝" w:hint="eastAsia"/>
          <w:color w:val="000000"/>
        </w:rPr>
        <w:t xml:space="preserve"> and</w:t>
      </w:r>
      <w:r w:rsidRPr="00232381">
        <w:rPr>
          <w:rFonts w:ascii="ＭＳ 明朝"/>
          <w:color w:val="000000"/>
        </w:rPr>
        <w:t xml:space="preserve"> Martin Shapiro</w:t>
      </w:r>
      <w:r w:rsidRPr="00232381">
        <w:rPr>
          <w:rFonts w:ascii="ＭＳ 明朝" w:hint="eastAsia"/>
          <w:color w:val="000000"/>
        </w:rPr>
        <w:t xml:space="preserve"> ed., </w:t>
      </w:r>
      <w:r w:rsidRPr="00232381">
        <w:rPr>
          <w:rFonts w:ascii="ＭＳ 明朝"/>
          <w:i/>
          <w:color w:val="000000"/>
        </w:rPr>
        <w:t>Creating competitive markets:</w:t>
      </w:r>
      <w:r>
        <w:rPr>
          <w:rFonts w:ascii="ＭＳ 明朝" w:hint="eastAsia"/>
          <w:i/>
          <w:color w:val="000000"/>
        </w:rPr>
        <w:t xml:space="preserve"> </w:t>
      </w:r>
      <w:r w:rsidRPr="00232381">
        <w:rPr>
          <w:rFonts w:ascii="ＭＳ 明朝"/>
          <w:i/>
          <w:color w:val="000000"/>
        </w:rPr>
        <w:t>the politics of regulatory reform</w:t>
      </w:r>
      <w:r w:rsidRPr="00232381">
        <w:rPr>
          <w:rFonts w:ascii="ＭＳ 明朝" w:hint="eastAsia"/>
          <w:color w:val="000000"/>
        </w:rPr>
        <w:t xml:space="preserve">, </w:t>
      </w:r>
      <w:r w:rsidRPr="00232381">
        <w:rPr>
          <w:rFonts w:ascii="ＭＳ 明朝"/>
          <w:color w:val="000000"/>
        </w:rPr>
        <w:t>Brookings Institution Press</w:t>
      </w:r>
      <w:r w:rsidRPr="00232381">
        <w:rPr>
          <w:rFonts w:ascii="ＭＳ 明朝" w:hint="eastAsia"/>
          <w:color w:val="000000"/>
        </w:rPr>
        <w:t>, 2007, pp.</w:t>
      </w:r>
      <w:r>
        <w:rPr>
          <w:rFonts w:ascii="ＭＳ 明朝" w:hint="eastAsia"/>
          <w:color w:val="000000"/>
        </w:rPr>
        <w:t xml:space="preserve"> </w:t>
      </w:r>
      <w:r w:rsidRPr="00232381">
        <w:rPr>
          <w:rFonts w:ascii="ＭＳ 明朝" w:hint="eastAsia"/>
          <w:color w:val="000000"/>
        </w:rPr>
        <w:t>83-109.</w:t>
      </w:r>
    </w:p>
    <w:p w:rsidR="002016E7" w:rsidRPr="006B4154" w:rsidRDefault="002016E7" w:rsidP="002016E7">
      <w:pPr>
        <w:tabs>
          <w:tab w:val="left" w:pos="621"/>
          <w:tab w:val="left" w:pos="828"/>
        </w:tabs>
        <w:ind w:leftChars="200" w:left="1243" w:rightChars="303" w:right="628" w:hangingChars="400" w:hanging="829"/>
        <w:rPr>
          <w:rFonts w:ascii="ＭＳ 明朝" w:hAnsi="ＭＳ 明朝"/>
          <w:color w:val="000000"/>
          <w:szCs w:val="18"/>
        </w:rPr>
      </w:pPr>
      <w:r w:rsidRPr="00232381">
        <w:rPr>
          <w:rFonts w:ascii="ＭＳ 明朝" w:hAnsi="ＭＳ 明朝" w:hint="eastAsia"/>
          <w:color w:val="000000"/>
          <w:szCs w:val="18"/>
        </w:rPr>
        <w:t xml:space="preserve">　 (11</w:t>
      </w:r>
      <w:r w:rsidRPr="006B4154">
        <w:rPr>
          <w:rFonts w:ascii="ＭＳ 明朝" w:hAnsi="ＭＳ 明朝" w:hint="eastAsia"/>
          <w:color w:val="000000"/>
          <w:szCs w:val="18"/>
        </w:rPr>
        <w:t>)「被災者自立へ細やかな復興支援を」『日本経済新聞』社説　2015.3.11 朝刊</w:t>
      </w:r>
    </w:p>
    <w:p w:rsidR="002016E7" w:rsidRPr="006B4154" w:rsidRDefault="002016E7" w:rsidP="002016E7">
      <w:pPr>
        <w:ind w:leftChars="200" w:left="1243" w:rightChars="303" w:right="628" w:hangingChars="400" w:hanging="829"/>
        <w:rPr>
          <w:rFonts w:ascii="ＭＳ 明朝" w:hAnsi="ＭＳ 明朝"/>
          <w:color w:val="000000"/>
          <w:szCs w:val="18"/>
        </w:rPr>
      </w:pPr>
      <w:r w:rsidRPr="006B4154">
        <w:rPr>
          <w:rFonts w:ascii="ＭＳ 明朝" w:hAnsi="ＭＳ 明朝" w:hint="eastAsia"/>
          <w:color w:val="000000"/>
          <w:szCs w:val="18"/>
        </w:rPr>
        <w:t xml:space="preserve">   (12) 八代市公式ホームページ「熊本県ひとり親家庭等ホームフレンド派遣事業」</w:t>
      </w:r>
    </w:p>
    <w:p w:rsidR="002016E7" w:rsidRPr="006B4154" w:rsidRDefault="002016E7" w:rsidP="002016E7">
      <w:pPr>
        <w:ind w:leftChars="600" w:left="1243" w:rightChars="303" w:right="628"/>
        <w:rPr>
          <w:rFonts w:ascii="ＭＳ 明朝" w:hAnsi="ＭＳ 明朝"/>
          <w:color w:val="000000"/>
          <w:szCs w:val="18"/>
        </w:rPr>
      </w:pPr>
      <w:r w:rsidRPr="006B4154">
        <w:rPr>
          <w:rFonts w:ascii="ＭＳ 明朝" w:hAnsi="ＭＳ 明朝" w:hint="eastAsia"/>
          <w:color w:val="000000"/>
          <w:szCs w:val="18"/>
        </w:rPr>
        <w:t>掲載開始日：2011年6月2日</w:t>
      </w:r>
    </w:p>
    <w:p w:rsidR="002016E7" w:rsidRPr="006B4154" w:rsidRDefault="002016E7" w:rsidP="002016E7">
      <w:pPr>
        <w:ind w:leftChars="600" w:left="1345" w:hangingChars="49" w:hanging="102"/>
        <w:rPr>
          <w:rFonts w:ascii="ＭＳ 明朝" w:hAnsi="ＭＳ 明朝"/>
          <w:color w:val="000000"/>
          <w:szCs w:val="18"/>
        </w:rPr>
      </w:pPr>
      <w:r w:rsidRPr="006B4154">
        <w:rPr>
          <w:color w:val="000000"/>
        </w:rPr>
        <w:t xml:space="preserve"> </w:t>
      </w:r>
      <w:r w:rsidRPr="006B4154">
        <w:rPr>
          <w:rFonts w:ascii="ＭＳ 明朝" w:hAnsi="ＭＳ 明朝"/>
          <w:color w:val="000000"/>
          <w:szCs w:val="18"/>
        </w:rPr>
        <w:t>http://www.city.yatsushiro.kumamoto.jp/list/list_view.phtml?catid =130205&amp;arid=18643</w:t>
      </w:r>
      <w:r w:rsidRPr="006B4154">
        <w:rPr>
          <w:rFonts w:ascii="ＭＳ 明朝" w:hAnsi="ＭＳ 明朝" w:hint="eastAsia"/>
          <w:color w:val="000000"/>
          <w:szCs w:val="18"/>
        </w:rPr>
        <w:t>（2015.3.16最終アクセス）</w:t>
      </w:r>
    </w:p>
    <w:p w:rsidR="002016E7" w:rsidRPr="00232381" w:rsidRDefault="002016E7" w:rsidP="002016E7">
      <w:pPr>
        <w:ind w:left="207" w:hangingChars="100" w:hanging="207"/>
        <w:rPr>
          <w:rFonts w:ascii="ＭＳ 明朝" w:hAnsi="ＭＳ 明朝"/>
          <w:color w:val="000000"/>
          <w:sz w:val="22"/>
          <w:szCs w:val="22"/>
        </w:rPr>
      </w:pPr>
      <w:r w:rsidRPr="00232381">
        <w:rPr>
          <w:rFonts w:ascii="ＭＳ 明朝" w:hAnsi="ＭＳ 明朝" w:hint="eastAsia"/>
          <w:color w:val="000000"/>
          <w:szCs w:val="18"/>
        </w:rPr>
        <w:t xml:space="preserve">　</w:t>
      </w:r>
      <w:r w:rsidRPr="00232381">
        <w:rPr>
          <w:rFonts w:ascii="ＭＳ 明朝" w:hAnsi="ＭＳ 明朝" w:hint="eastAsia"/>
          <w:color w:val="000000"/>
          <w:sz w:val="22"/>
          <w:szCs w:val="22"/>
        </w:rPr>
        <w:t>図書館2階、3階にある雑誌・紀要に掲載されている専門家の研究論文を実際に参照されることをお勧めしします。</w:t>
      </w:r>
    </w:p>
    <w:p w:rsidR="002016E7" w:rsidRPr="00232381" w:rsidRDefault="002016E7" w:rsidP="002016E7">
      <w:pPr>
        <w:ind w:firstLineChars="100" w:firstLine="207"/>
        <w:rPr>
          <w:rFonts w:ascii="ＭＳ 明朝" w:hAnsi="ＭＳ 明朝"/>
          <w:color w:val="000000"/>
          <w:szCs w:val="18"/>
        </w:rPr>
      </w:pPr>
      <w:r w:rsidRPr="00232381">
        <w:rPr>
          <w:rFonts w:ascii="ＭＳ 明朝" w:hAnsi="ＭＳ 明朝" w:hint="eastAsia"/>
          <w:color w:val="000000"/>
          <w:szCs w:val="18"/>
        </w:rPr>
        <w:t>また、参考文献（本学</w:t>
      </w:r>
      <w:r>
        <w:rPr>
          <w:rFonts w:ascii="ＭＳ 明朝" w:hAnsi="ＭＳ 明朝" w:hint="eastAsia"/>
          <w:color w:val="000000"/>
          <w:szCs w:val="18"/>
        </w:rPr>
        <w:t>図書館</w:t>
      </w:r>
      <w:r w:rsidRPr="00232381">
        <w:rPr>
          <w:rFonts w:ascii="ＭＳ 明朝" w:hAnsi="ＭＳ 明朝" w:hint="eastAsia"/>
          <w:color w:val="000000"/>
          <w:szCs w:val="18"/>
        </w:rPr>
        <w:t>所蔵</w:t>
      </w:r>
      <w:r>
        <w:rPr>
          <w:rFonts w:ascii="ＭＳ 明朝" w:hAnsi="ＭＳ 明朝" w:hint="eastAsia"/>
          <w:color w:val="000000"/>
          <w:szCs w:val="18"/>
        </w:rPr>
        <w:t>：１階特設コーナー・１階</w:t>
      </w:r>
      <w:r w:rsidRPr="00232381">
        <w:rPr>
          <w:rFonts w:ascii="ＭＳ 明朝" w:hAnsi="ＭＳ 明朝" w:hint="eastAsia"/>
          <w:color w:val="000000"/>
          <w:szCs w:val="18"/>
        </w:rPr>
        <w:t>シラバス</w:t>
      </w:r>
      <w:r>
        <w:rPr>
          <w:rFonts w:ascii="ＭＳ 明朝" w:hAnsi="ＭＳ 明朝" w:hint="eastAsia"/>
          <w:color w:val="000000"/>
          <w:szCs w:val="18"/>
        </w:rPr>
        <w:t>コーナー</w:t>
      </w:r>
      <w:r w:rsidRPr="00232381">
        <w:rPr>
          <w:rFonts w:ascii="ＭＳ 明朝" w:hAnsi="ＭＳ 明朝" w:hint="eastAsia"/>
          <w:color w:val="000000"/>
          <w:szCs w:val="18"/>
        </w:rPr>
        <w:t>）として</w:t>
      </w:r>
    </w:p>
    <w:p w:rsidR="002016E7" w:rsidRDefault="002016E7" w:rsidP="00E011BE">
      <w:pPr>
        <w:ind w:leftChars="200" w:left="424" w:hangingChars="5" w:hanging="10"/>
        <w:rPr>
          <w:rFonts w:ascii="ＭＳ 明朝" w:hAnsi="ＭＳ 明朝"/>
          <w:color w:val="000000"/>
          <w:szCs w:val="18"/>
        </w:rPr>
      </w:pPr>
      <w:r w:rsidRPr="00232381">
        <w:rPr>
          <w:rFonts w:ascii="ＭＳ 明朝" w:hAnsi="ＭＳ 明朝" w:hint="eastAsia"/>
          <w:color w:val="000000"/>
          <w:szCs w:val="18"/>
        </w:rPr>
        <w:t>・経済学部シラバス「卒業論文作成の手引き」</w:t>
      </w:r>
    </w:p>
    <w:p w:rsidR="002016E7" w:rsidRPr="00232381" w:rsidRDefault="002016E7" w:rsidP="00E011BE">
      <w:pPr>
        <w:ind w:leftChars="200" w:left="424" w:hangingChars="5" w:hanging="10"/>
        <w:rPr>
          <w:rFonts w:ascii="ＭＳ 明朝" w:hAnsi="ＭＳ 明朝"/>
          <w:color w:val="000000"/>
          <w:szCs w:val="18"/>
        </w:rPr>
      </w:pPr>
      <w:r w:rsidRPr="00232381">
        <w:rPr>
          <w:rFonts w:ascii="ＭＳ 明朝" w:hAnsi="ＭＳ 明朝" w:hint="eastAsia"/>
          <w:color w:val="000000"/>
          <w:szCs w:val="18"/>
        </w:rPr>
        <w:t>・小笠原喜康『大学生のためのレポート・論文術 新版』（講談社現代新書）、講談社、2009．</w:t>
      </w:r>
    </w:p>
    <w:p w:rsidR="002016E7" w:rsidRPr="00232381" w:rsidRDefault="002016E7" w:rsidP="00E011BE">
      <w:pPr>
        <w:ind w:leftChars="200" w:left="424" w:hangingChars="5" w:hanging="10"/>
        <w:rPr>
          <w:rFonts w:ascii="ＭＳ 明朝" w:hAnsi="ＭＳ 明朝"/>
          <w:color w:val="000000"/>
          <w:szCs w:val="18"/>
        </w:rPr>
      </w:pPr>
      <w:r w:rsidRPr="00232381">
        <w:rPr>
          <w:rFonts w:ascii="ＭＳ 明朝" w:hAnsi="ＭＳ 明朝" w:hint="eastAsia"/>
          <w:color w:val="000000"/>
          <w:szCs w:val="18"/>
        </w:rPr>
        <w:t>・戸田山和久『論文の教室―レポートから卒論まで 新版』（NHKブックス）、NHK出版、2012.</w:t>
      </w:r>
    </w:p>
    <w:p w:rsidR="002016E7" w:rsidRDefault="002016E7" w:rsidP="00E011BE">
      <w:pPr>
        <w:ind w:leftChars="200" w:left="424" w:hangingChars="5" w:hanging="10"/>
        <w:rPr>
          <w:rFonts w:ascii="ＭＳ 明朝" w:hAnsi="ＭＳ 明朝"/>
          <w:color w:val="000000"/>
          <w:szCs w:val="18"/>
        </w:rPr>
      </w:pPr>
      <w:r>
        <w:rPr>
          <w:rFonts w:ascii="ＭＳ 明朝" w:hAnsi="ＭＳ 明朝" w:hint="eastAsia"/>
          <w:color w:val="000000"/>
          <w:szCs w:val="18"/>
        </w:rPr>
        <w:t>・</w:t>
      </w:r>
      <w:r w:rsidRPr="00232381">
        <w:rPr>
          <w:rFonts w:ascii="ＭＳ 明朝" w:hAnsi="ＭＳ 明朝" w:hint="eastAsia"/>
          <w:color w:val="000000"/>
          <w:szCs w:val="18"/>
        </w:rPr>
        <w:t>白井利明・高橋一郎『よくわかる卒論の書き方 第２版』ミネルヴァ書房、2013.</w:t>
      </w:r>
    </w:p>
    <w:p w:rsidR="002016E7" w:rsidRDefault="002016E7" w:rsidP="00E011BE">
      <w:pPr>
        <w:ind w:leftChars="200" w:left="424" w:hangingChars="5" w:hanging="10"/>
        <w:rPr>
          <w:rFonts w:ascii="ＭＳ 明朝" w:hAnsi="ＭＳ 明朝"/>
          <w:color w:val="000000"/>
          <w:szCs w:val="18"/>
        </w:rPr>
      </w:pPr>
      <w:r>
        <w:rPr>
          <w:rFonts w:ascii="ＭＳ 明朝" w:hAnsi="ＭＳ 明朝" w:hint="eastAsia"/>
          <w:color w:val="000000"/>
          <w:szCs w:val="18"/>
        </w:rPr>
        <w:t>・市古みどり他『資料検索入門：レポート・論文を書くために』慶応義塾大学出版会、2014.</w:t>
      </w:r>
    </w:p>
    <w:p w:rsidR="002016E7" w:rsidRDefault="002016E7" w:rsidP="00E011BE">
      <w:pPr>
        <w:ind w:leftChars="200" w:left="424" w:hangingChars="5" w:hanging="10"/>
        <w:rPr>
          <w:rFonts w:ascii="ＭＳ 明朝" w:hAnsi="ＭＳ 明朝"/>
          <w:color w:val="000000"/>
          <w:szCs w:val="18"/>
        </w:rPr>
      </w:pPr>
      <w:r>
        <w:rPr>
          <w:rFonts w:ascii="ＭＳ 明朝" w:hAnsi="ＭＳ 明朝" w:hint="eastAsia"/>
          <w:color w:val="000000"/>
          <w:szCs w:val="18"/>
        </w:rPr>
        <w:t>・井下千以子『思考を鍛えるレポート・論文作成法　第２版』慶応義塾大学出版会、2014.</w:t>
      </w:r>
    </w:p>
    <w:p w:rsidR="002016E7" w:rsidRPr="00232381" w:rsidRDefault="002016E7" w:rsidP="00E011BE">
      <w:pPr>
        <w:ind w:leftChars="200" w:left="424" w:hangingChars="5" w:hanging="10"/>
        <w:rPr>
          <w:rFonts w:ascii="ＭＳ 明朝" w:hAnsi="ＭＳ 明朝"/>
          <w:color w:val="000000"/>
          <w:szCs w:val="18"/>
        </w:rPr>
      </w:pPr>
      <w:r>
        <w:rPr>
          <w:rFonts w:ascii="ＭＳ 明朝" w:hAnsi="ＭＳ 明朝" w:hint="eastAsia"/>
          <w:color w:val="000000"/>
          <w:szCs w:val="18"/>
        </w:rPr>
        <w:t>・滝川好夫『卒業論文・修士論文 作成の要点整理実践マニュアル』税務経理協会、2014.</w:t>
      </w:r>
    </w:p>
    <w:p w:rsidR="002016E7" w:rsidRPr="00232381" w:rsidRDefault="002016E7" w:rsidP="002016E7">
      <w:pPr>
        <w:ind w:firstLineChars="100" w:firstLine="207"/>
        <w:rPr>
          <w:rFonts w:ascii="ＭＳ 明朝" w:hAnsi="ＭＳ 明朝"/>
          <w:color w:val="000000"/>
          <w:szCs w:val="18"/>
        </w:rPr>
      </w:pPr>
      <w:r w:rsidRPr="00232381">
        <w:rPr>
          <w:rFonts w:ascii="ＭＳ 明朝" w:hAnsi="ＭＳ 明朝" w:hint="eastAsia"/>
          <w:color w:val="000000"/>
          <w:szCs w:val="18"/>
        </w:rPr>
        <w:t>を紹介します。</w:t>
      </w:r>
    </w:p>
    <w:p w:rsidR="002016E7" w:rsidRDefault="002016E7" w:rsidP="002016E7">
      <w:pPr>
        <w:ind w:firstLineChars="100" w:firstLine="207"/>
        <w:rPr>
          <w:rFonts w:ascii="ＭＳ 明朝" w:hAnsi="ＭＳ 明朝"/>
          <w:color w:val="000000"/>
          <w:szCs w:val="18"/>
        </w:rPr>
      </w:pPr>
    </w:p>
    <w:p w:rsidR="002016E7" w:rsidRDefault="002016E7" w:rsidP="002016E7">
      <w:pPr>
        <w:ind w:leftChars="100" w:left="207" w:firstLine="1"/>
        <w:rPr>
          <w:rFonts w:ascii="ＭＳ 明朝" w:hAnsi="ＭＳ 明朝"/>
          <w:color w:val="000000"/>
          <w:szCs w:val="18"/>
        </w:rPr>
      </w:pPr>
      <w:r w:rsidRPr="00232381">
        <w:rPr>
          <w:rFonts w:ascii="ＭＳ 明朝" w:hAnsi="ＭＳ 明朝" w:hint="eastAsia"/>
          <w:color w:val="000000"/>
          <w:szCs w:val="18"/>
        </w:rPr>
        <w:t>論文の執筆にあたっては、上記図書や他の類書を一読され、論文の基本ルールや文献・資料の収集について参考にしてください。</w:t>
      </w:r>
    </w:p>
    <w:p w:rsidR="00A16C27" w:rsidRPr="005B0C42" w:rsidRDefault="005170BE" w:rsidP="00A16C27">
      <w:pPr>
        <w:jc w:val="right"/>
        <w:rPr>
          <w:rFonts w:ascii="ＭＳ 明朝" w:hAnsi="ＭＳ 明朝"/>
          <w:szCs w:val="18"/>
        </w:rPr>
      </w:pPr>
      <w:r>
        <w:rPr>
          <w:rFonts w:asciiTheme="minorHAnsi" w:hAnsiTheme="minorHAnsi" w:hint="eastAsia"/>
          <w:szCs w:val="18"/>
        </w:rPr>
        <w:t>令和</w:t>
      </w:r>
      <w:r w:rsidR="003A4E9F">
        <w:rPr>
          <w:rFonts w:asciiTheme="minorHAnsi" w:hAnsiTheme="minorHAnsi" w:hint="eastAsia"/>
          <w:szCs w:val="18"/>
        </w:rPr>
        <w:t>4</w:t>
      </w:r>
      <w:r w:rsidR="005B0C42" w:rsidRPr="005B0C42">
        <w:rPr>
          <w:rFonts w:asciiTheme="minorHAnsi" w:hAnsiTheme="minorHAnsi" w:hint="eastAsia"/>
          <w:szCs w:val="18"/>
        </w:rPr>
        <w:t>年</w:t>
      </w:r>
      <w:r w:rsidR="005B0C42" w:rsidRPr="005B0C42">
        <w:rPr>
          <w:rFonts w:asciiTheme="minorHAnsi" w:hAnsiTheme="minorHAnsi" w:hint="eastAsia"/>
          <w:szCs w:val="18"/>
        </w:rPr>
        <w:t>4</w:t>
      </w:r>
      <w:r w:rsidR="005B0C42" w:rsidRPr="005B0C42">
        <w:rPr>
          <w:rFonts w:asciiTheme="minorHAnsi" w:hAnsiTheme="minorHAnsi" w:hint="eastAsia"/>
          <w:szCs w:val="18"/>
        </w:rPr>
        <w:t>月</w:t>
      </w:r>
      <w:r w:rsidR="003A4E9F">
        <w:rPr>
          <w:rFonts w:asciiTheme="minorHAnsi" w:hAnsiTheme="minorHAnsi" w:hint="eastAsia"/>
          <w:szCs w:val="18"/>
        </w:rPr>
        <w:t>8</w:t>
      </w:r>
      <w:bookmarkStart w:id="0" w:name="_GoBack"/>
      <w:bookmarkEnd w:id="0"/>
      <w:r w:rsidR="005B0C42" w:rsidRPr="005B0C42">
        <w:rPr>
          <w:rFonts w:asciiTheme="minorHAnsi" w:hAnsiTheme="minorHAnsi" w:hint="eastAsia"/>
          <w:szCs w:val="18"/>
        </w:rPr>
        <w:t xml:space="preserve">日　</w:t>
      </w:r>
      <w:r w:rsidR="00A16C27" w:rsidRPr="005B0C42">
        <w:rPr>
          <w:rFonts w:ascii="ＭＳ 明朝" w:hAnsi="ＭＳ 明朝" w:hint="eastAsia"/>
          <w:szCs w:val="18"/>
        </w:rPr>
        <w:t>熊本学園大学付属図書館</w:t>
      </w:r>
    </w:p>
    <w:p w:rsidR="00A16C27" w:rsidRPr="00A16C27" w:rsidRDefault="00A16C27" w:rsidP="00A16C27">
      <w:pPr>
        <w:jc w:val="right"/>
        <w:rPr>
          <w:rFonts w:ascii="ＭＳ 明朝" w:hAnsi="ＭＳ 明朝"/>
          <w:color w:val="000000"/>
          <w:szCs w:val="18"/>
        </w:rPr>
      </w:pPr>
    </w:p>
    <w:p w:rsidR="00871683" w:rsidRDefault="002016E7" w:rsidP="00A16C27">
      <w:pPr>
        <w:jc w:val="center"/>
      </w:pPr>
      <w:r w:rsidRPr="00BC787E">
        <w:rPr>
          <w:rFonts w:ascii="ＭＳ 明朝" w:hAnsi="ＭＳ 明朝" w:hint="eastAsia"/>
          <w:sz w:val="22"/>
          <w:szCs w:val="22"/>
        </w:rPr>
        <w:t>2/2</w:t>
      </w:r>
    </w:p>
    <w:sectPr w:rsidR="00871683" w:rsidSect="001E05D5">
      <w:pgSz w:w="11907" w:h="16840" w:code="9"/>
      <w:pgMar w:top="851" w:right="936" w:bottom="851" w:left="1701" w:header="720" w:footer="720" w:gutter="0"/>
      <w:cols w:space="420"/>
      <w:docGrid w:type="linesAndChars" w:linePitch="398" w:charSpace="-5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27F8" w:rsidRDefault="00B727F8" w:rsidP="00A8067D">
      <w:r>
        <w:separator/>
      </w:r>
    </w:p>
  </w:endnote>
  <w:endnote w:type="continuationSeparator" w:id="0">
    <w:p w:rsidR="00B727F8" w:rsidRDefault="00B727F8" w:rsidP="00A80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27F8" w:rsidRDefault="00B727F8" w:rsidP="00A8067D">
      <w:r>
        <w:separator/>
      </w:r>
    </w:p>
  </w:footnote>
  <w:footnote w:type="continuationSeparator" w:id="0">
    <w:p w:rsidR="00B727F8" w:rsidRDefault="00B727F8" w:rsidP="00A806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6E7"/>
    <w:rsid w:val="00042ACC"/>
    <w:rsid w:val="000C7A17"/>
    <w:rsid w:val="00122231"/>
    <w:rsid w:val="002016E7"/>
    <w:rsid w:val="00354A5E"/>
    <w:rsid w:val="003A4E9F"/>
    <w:rsid w:val="005170BE"/>
    <w:rsid w:val="005B054F"/>
    <w:rsid w:val="005B0C42"/>
    <w:rsid w:val="00663388"/>
    <w:rsid w:val="00720FC3"/>
    <w:rsid w:val="00871683"/>
    <w:rsid w:val="00A16C27"/>
    <w:rsid w:val="00A73FC7"/>
    <w:rsid w:val="00A8067D"/>
    <w:rsid w:val="00B01BE7"/>
    <w:rsid w:val="00B727F8"/>
    <w:rsid w:val="00CD15CE"/>
    <w:rsid w:val="00E011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3">
      <v:textbox inset="5.85pt,.7pt,5.85pt,.7pt"/>
    </o:shapedefaults>
    <o:shapelayout v:ext="edit">
      <o:idmap v:ext="edit" data="1"/>
    </o:shapelayout>
  </w:shapeDefaults>
  <w:decimalSymbol w:val="."/>
  <w:listSeparator w:val=","/>
  <w15:docId w15:val="{26F90854-29C6-45C2-A617-B14FBCEE2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6E7"/>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067D"/>
    <w:pPr>
      <w:tabs>
        <w:tab w:val="center" w:pos="4252"/>
        <w:tab w:val="right" w:pos="8504"/>
      </w:tabs>
      <w:snapToGrid w:val="0"/>
    </w:pPr>
  </w:style>
  <w:style w:type="character" w:customStyle="1" w:styleId="a4">
    <w:name w:val="ヘッダー (文字)"/>
    <w:basedOn w:val="a0"/>
    <w:link w:val="a3"/>
    <w:uiPriority w:val="99"/>
    <w:rsid w:val="00A8067D"/>
    <w:rPr>
      <w:rFonts w:ascii="Century" w:eastAsia="ＭＳ 明朝" w:hAnsi="Century" w:cs="Times New Roman"/>
      <w:szCs w:val="20"/>
    </w:rPr>
  </w:style>
  <w:style w:type="paragraph" w:styleId="a5">
    <w:name w:val="footer"/>
    <w:basedOn w:val="a"/>
    <w:link w:val="a6"/>
    <w:uiPriority w:val="99"/>
    <w:unhideWhenUsed/>
    <w:rsid w:val="00A8067D"/>
    <w:pPr>
      <w:tabs>
        <w:tab w:val="center" w:pos="4252"/>
        <w:tab w:val="right" w:pos="8504"/>
      </w:tabs>
      <w:snapToGrid w:val="0"/>
    </w:pPr>
  </w:style>
  <w:style w:type="character" w:customStyle="1" w:styleId="a6">
    <w:name w:val="フッター (文字)"/>
    <w:basedOn w:val="a0"/>
    <w:link w:val="a5"/>
    <w:uiPriority w:val="99"/>
    <w:rsid w:val="00A8067D"/>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339</Words>
  <Characters>1935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石川 知子</dc:creator>
  <cp:lastModifiedBy>石川 知子</cp:lastModifiedBy>
  <cp:revision>7</cp:revision>
  <cp:lastPrinted>2019-04-05T05:07:00Z</cp:lastPrinted>
  <dcterms:created xsi:type="dcterms:W3CDTF">2020-04-07T01:11:00Z</dcterms:created>
  <dcterms:modified xsi:type="dcterms:W3CDTF">2022-04-01T05:22:00Z</dcterms:modified>
</cp:coreProperties>
</file>